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8577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85771" w:rsidRDefault="00A35D6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85771" w:rsidRDefault="00A35D6D">
            <w:pPr>
              <w:spacing w:after="0" w:line="240" w:lineRule="auto"/>
            </w:pPr>
            <w:r>
              <w:t>3349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85771" w:rsidRDefault="00A35D6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85771" w:rsidRDefault="00A35D6D">
            <w:pPr>
              <w:spacing w:after="0" w:line="240" w:lineRule="auto"/>
            </w:pPr>
            <w:r>
              <w:t>ZATVOR U  ZAGREBU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85771" w:rsidRDefault="00A35D6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85771" w:rsidRDefault="00A35D6D">
            <w:pPr>
              <w:spacing w:after="0" w:line="240" w:lineRule="auto"/>
            </w:pPr>
            <w:r>
              <w:t>11</w:t>
            </w:r>
          </w:p>
        </w:tc>
      </w:tr>
    </w:tbl>
    <w:p w:rsidR="00685771" w:rsidRDefault="00A35D6D">
      <w:r>
        <w:br/>
      </w:r>
    </w:p>
    <w:p w:rsidR="00685771" w:rsidRDefault="00A35D6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85771" w:rsidRDefault="00A35D6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85771" w:rsidRDefault="00A35D6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15.934.456,97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16.510.457,41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14.872.947,07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16.616.012,21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111,7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6857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105.554,80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1.026.827,21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875.761,21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85,3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6857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1.026.827,21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875.761,21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85,3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6857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6857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981.316,01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 xml:space="preserve">Ostvaren je manjak prihoda i primitaka  u iznosu od 981.316,01 </w:t>
      </w:r>
      <w:proofErr w:type="spellStart"/>
      <w:r>
        <w:t>Eur</w:t>
      </w:r>
      <w:proofErr w:type="spellEnd"/>
      <w:r>
        <w:t xml:space="preserve"> u odnosu na prethodno razdoblje iz razloga sto je Okružnicom Ministarstva financija propisano da sa datumom 1. siječnja 2025. ukida podskupina računa 193 Kontinuirani rashodi budućih razdob</w:t>
      </w:r>
      <w:r>
        <w:t>lja, te se prenose na rashode zaduženjem odgovarajućih osnovnih računa razreda 3 Rashodi poslovanja</w:t>
      </w:r>
    </w:p>
    <w:p w:rsidR="00685771" w:rsidRDefault="00A35D6D">
      <w:r>
        <w:lastRenderedPageBreak/>
        <w:br/>
      </w:r>
    </w:p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21.874,38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 xml:space="preserve">Vrijednost od 21.874,38 </w:t>
      </w:r>
      <w:proofErr w:type="spellStart"/>
      <w:r>
        <w:t>Eur</w:t>
      </w:r>
      <w:proofErr w:type="spellEnd"/>
      <w:r>
        <w:t xml:space="preserve"> odnosi</w:t>
      </w:r>
      <w:r>
        <w:t xml:space="preserve"> se na sufinanciranje</w:t>
      </w:r>
      <w:r>
        <w:t xml:space="preserve"> Fonda za zaštitu okoliša za nabavu uređaja za sprječavanje</w:t>
      </w:r>
      <w:r>
        <w:t xml:space="preserve"> nastanka </w:t>
      </w:r>
      <w:proofErr w:type="spellStart"/>
      <w:r>
        <w:t>biootpada</w:t>
      </w:r>
      <w:proofErr w:type="spellEnd"/>
      <w:r>
        <w:t>.</w:t>
      </w:r>
    </w:p>
    <w:p w:rsidR="00685771" w:rsidRDefault="00A35D6D">
      <w:r>
        <w:br/>
        <w:t> </w:t>
      </w:r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13.882,86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11.730,60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84,5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>Ostvareni prihodi se odnose na ostvarene prihode od izvođenja zatvorenika.</w:t>
      </w:r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372.216,80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322.174,11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86,6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 xml:space="preserve">1. Prihodi pruženih usluga od pripreme „toplog obroka“ za zaposlenike državnog tijela u iznosu 234.991,49 </w:t>
      </w:r>
      <w:proofErr w:type="spellStart"/>
      <w:r>
        <w:t>Eur</w:t>
      </w:r>
      <w:proofErr w:type="spellEnd"/>
      <w:r>
        <w:t xml:space="preserve"> 2. Najam prostora 5.789,69 </w:t>
      </w:r>
      <w:proofErr w:type="spellStart"/>
      <w:r>
        <w:t>Eur</w:t>
      </w:r>
      <w:proofErr w:type="spellEnd"/>
      <w:r>
        <w:t xml:space="preserve"> 3. Prihod od poslova kod drugog poslodavca (podmirena obveza po presudi - stečaju) 1.293,24 </w:t>
      </w:r>
      <w:proofErr w:type="spellStart"/>
      <w:r>
        <w:t>Eur</w:t>
      </w:r>
      <w:proofErr w:type="spellEnd"/>
      <w:r>
        <w:t xml:space="preserve"> 4. Usluga fotokopir</w:t>
      </w:r>
      <w:r>
        <w:t xml:space="preserve">anja za zatvorenike 728,76 </w:t>
      </w:r>
      <w:proofErr w:type="spellStart"/>
      <w:r>
        <w:t>Eur</w:t>
      </w:r>
      <w:proofErr w:type="spellEnd"/>
      <w:r>
        <w:t xml:space="preserve"> 5. Prihodi od jela od narudžbi za zatvorenike 77.979,93 </w:t>
      </w:r>
      <w:proofErr w:type="spellStart"/>
      <w:r>
        <w:t>Eur</w:t>
      </w:r>
      <w:proofErr w:type="spellEnd"/>
      <w:r>
        <w:t>, prihodi od Centra</w:t>
      </w:r>
      <w:r>
        <w:t xml:space="preserve"> za izobrazbu sukladno</w:t>
      </w:r>
      <w:r>
        <w:t xml:space="preserve"> sporazumu 1.391,00Eur</w:t>
      </w:r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809,2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>Donacija od Udruge RODA, te Udruge za kreativan i socijalan rad</w:t>
      </w:r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13.856,29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0,9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>Otkup službenog vozila</w:t>
      </w:r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49.166,22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15.832,70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32,2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 xml:space="preserve">1. Računalna oprema - monitor 280,00Eur 2. Uredski namještaj 1.106,14 </w:t>
      </w:r>
      <w:proofErr w:type="spellStart"/>
      <w:r>
        <w:t>Eur</w:t>
      </w:r>
      <w:proofErr w:type="spellEnd"/>
      <w:r>
        <w:t xml:space="preserve"> 3. Ostala </w:t>
      </w:r>
      <w:proofErr w:type="spellStart"/>
      <w:r>
        <w:t>uredka</w:t>
      </w:r>
      <w:proofErr w:type="spellEnd"/>
      <w:r>
        <w:t xml:space="preserve"> oprema - ormari, printer, skener, klupa, sef 14.446,56 </w:t>
      </w:r>
      <w:proofErr w:type="spellStart"/>
      <w:r>
        <w:t>Eur</w:t>
      </w:r>
      <w:proofErr w:type="spellEnd"/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24.753,80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54.773,73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221,3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 xml:space="preserve">1. Oprema za grijanje ventilaciju i hlađenje - rashladna vitrina, hladnjak, klima uređaj - 49.906,48 </w:t>
      </w:r>
      <w:proofErr w:type="spellStart"/>
      <w:r>
        <w:t>Eur</w:t>
      </w:r>
      <w:proofErr w:type="spellEnd"/>
      <w:r>
        <w:t xml:space="preserve"> 2. Oprema za protupožarnu zaštitu - protupožarni aparat, detektor - 1.228,50 </w:t>
      </w:r>
      <w:proofErr w:type="spellStart"/>
      <w:r>
        <w:t>Eur</w:t>
      </w:r>
      <w:proofErr w:type="spellEnd"/>
      <w:r>
        <w:t xml:space="preserve"> 3. Ostala oprema za održavanje i zaštitu - alat za razvaljivanje - 3.6</w:t>
      </w:r>
      <w:r>
        <w:t xml:space="preserve">38,75 </w:t>
      </w:r>
      <w:proofErr w:type="spellStart"/>
      <w:r>
        <w:t>Eur</w:t>
      </w:r>
      <w:proofErr w:type="spellEnd"/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Medicinska i laboratorijska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>Stomatološka oprema</w:t>
      </w:r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6.132,48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28,3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 xml:space="preserve">Mjerni uređaji - pumpa za ispitivanje tlaka u cijevima, vaga - 1.763,50 </w:t>
      </w:r>
      <w:proofErr w:type="spellStart"/>
      <w:r>
        <w:t>Eur</w:t>
      </w:r>
      <w:proofErr w:type="spellEnd"/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</w:t>
            </w:r>
            <w:r>
              <w:rPr>
                <w:sz w:val="18"/>
              </w:rPr>
              <w:t xml:space="preserve">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 xml:space="preserve">Stol za stolni tenis 550,05 </w:t>
      </w:r>
      <w:proofErr w:type="spellStart"/>
      <w:r>
        <w:t>Eur</w:t>
      </w:r>
      <w:proofErr w:type="spellEnd"/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</w:t>
            </w:r>
            <w:r>
              <w:rPr>
                <w:sz w:val="18"/>
              </w:rPr>
              <w:t>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120.199,37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157.299,52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 xml:space="preserve">1. Uređaji - uređaj za prevođenje, pila, bušilica, </w:t>
      </w:r>
      <w:proofErr w:type="spellStart"/>
      <w:r>
        <w:t>planetrana</w:t>
      </w:r>
      <w:proofErr w:type="spellEnd"/>
      <w:r>
        <w:t xml:space="preserve"> </w:t>
      </w:r>
      <w:proofErr w:type="spellStart"/>
      <w:r>
        <w:t>mješalica</w:t>
      </w:r>
      <w:proofErr w:type="spellEnd"/>
      <w:r>
        <w:t xml:space="preserve">, perač visokotlačni, električna </w:t>
      </w:r>
      <w:proofErr w:type="spellStart"/>
      <w:r>
        <w:t>friteza</w:t>
      </w:r>
      <w:proofErr w:type="spellEnd"/>
      <w:r>
        <w:t xml:space="preserve">, parna postaja, uređaj za </w:t>
      </w:r>
      <w:proofErr w:type="spellStart"/>
      <w:r>
        <w:t>spriječavanje</w:t>
      </w:r>
      <w:proofErr w:type="spellEnd"/>
      <w:r>
        <w:t xml:space="preserve"> nastanka </w:t>
      </w:r>
      <w:proofErr w:type="spellStart"/>
      <w:r>
        <w:t>biootpada</w:t>
      </w:r>
      <w:proofErr w:type="spellEnd"/>
      <w:r>
        <w:t xml:space="preserve">, </w:t>
      </w:r>
      <w:proofErr w:type="spellStart"/>
      <w:r>
        <w:t>elektrocrpka</w:t>
      </w:r>
      <w:proofErr w:type="spellEnd"/>
      <w:r>
        <w:t xml:space="preserve"> - 43.748,75 </w:t>
      </w:r>
      <w:proofErr w:type="spellStart"/>
      <w:r>
        <w:t>Eur</w:t>
      </w:r>
      <w:proofErr w:type="spellEnd"/>
      <w:r>
        <w:t xml:space="preserve"> 2. Strojevi - </w:t>
      </w:r>
      <w:proofErr w:type="spellStart"/>
      <w:r>
        <w:t>ljuštilca</w:t>
      </w:r>
      <w:proofErr w:type="spellEnd"/>
      <w:r>
        <w:t xml:space="preserve"> luka, viličar, </w:t>
      </w:r>
      <w:proofErr w:type="spellStart"/>
      <w:r>
        <w:t>sroj</w:t>
      </w:r>
      <w:proofErr w:type="spellEnd"/>
      <w:r>
        <w:t xml:space="preserve"> za pranje r</w:t>
      </w:r>
      <w:r>
        <w:t xml:space="preserve">ublja, </w:t>
      </w:r>
      <w:proofErr w:type="spellStart"/>
      <w:r>
        <w:t>periulica</w:t>
      </w:r>
      <w:proofErr w:type="spellEnd"/>
      <w:r>
        <w:t xml:space="preserve"> i sušilica rublja - 35.186,71 3. Oprema - kreveti, police, metalni stolovi, radni stol, grijani radni stolovi, kolica za posluživanje- 58.200,,25 </w:t>
      </w:r>
      <w:proofErr w:type="spellStart"/>
      <w:r>
        <w:t>Eur</w:t>
      </w:r>
      <w:proofErr w:type="spellEnd"/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</w:t>
            </w:r>
            <w:r>
              <w:rPr>
                <w:b/>
                <w:sz w:val="18"/>
              </w:rPr>
              <w:t>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24.999,51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5913,5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 xml:space="preserve">Službeno vozilo - Škoda </w:t>
      </w:r>
      <w:proofErr w:type="spellStart"/>
      <w:r>
        <w:t>Octavia</w:t>
      </w:r>
      <w:proofErr w:type="spellEnd"/>
      <w:r>
        <w:t xml:space="preserve"> - 29.999,51 </w:t>
      </w:r>
      <w:proofErr w:type="spellStart"/>
      <w:r>
        <w:t>Eur</w:t>
      </w:r>
      <w:proofErr w:type="spellEnd"/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826.152,59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617.489,20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74,7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 xml:space="preserve">Dodatna ulaganja na građevinskim objektima - ograda oko Zatvora u Zagrebu, vrata, </w:t>
      </w:r>
      <w:proofErr w:type="spellStart"/>
      <w:r>
        <w:t>inox</w:t>
      </w:r>
      <w:proofErr w:type="spellEnd"/>
      <w:r>
        <w:t xml:space="preserve"> mreže za prozore, pregradne stijene za tuševe, prozori, protuprovalna vrata, izrada statičkog proračuna za mrežu, stručni nadzor za ogradu, idejni projekt čekaonice za p</w:t>
      </w:r>
      <w:r>
        <w:t xml:space="preserve">osjetitelje, zamjene </w:t>
      </w:r>
      <w:proofErr w:type="spellStart"/>
      <w:r>
        <w:t>razvodnh</w:t>
      </w:r>
      <w:proofErr w:type="spellEnd"/>
      <w:r>
        <w:t xml:space="preserve"> ormara, izrada projektne dokumentacije u svrhu građenja pomoćne zgrade, obnova sustav za dojavu požara I i II situacija, adaptacija sobe za intimne odnose, čelična konstrukcija za portu-617.489,20Eur</w:t>
      </w:r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>Donacija knjiga od Knjižnice Grada Zagreba</w:t>
      </w:r>
    </w:p>
    <w:p w:rsidR="00685771" w:rsidRDefault="00685771"/>
    <w:p w:rsidR="00685771" w:rsidRDefault="00A35D6D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6857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19.462,37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17,0</w:t>
            </w:r>
          </w:p>
        </w:tc>
      </w:tr>
    </w:tbl>
    <w:p w:rsidR="00685771" w:rsidRDefault="00685771">
      <w:pPr>
        <w:spacing w:after="0"/>
      </w:pPr>
    </w:p>
    <w:p w:rsidR="00685771" w:rsidRDefault="00A35D6D">
      <w:r>
        <w:t xml:space="preserve">Iznos povećanja - Donacija knjiga Knjižnice Grada Zagreba, ustupanje od MPUDT led svjetiljka sa </w:t>
      </w:r>
      <w:proofErr w:type="spellStart"/>
      <w:r>
        <w:t>akumulatorm</w:t>
      </w:r>
      <w:proofErr w:type="spellEnd"/>
      <w:r>
        <w:t>, te uređaj za detekciju mobilnih uređaja.</w:t>
      </w:r>
    </w:p>
    <w:p w:rsidR="00685771" w:rsidRDefault="00A35D6D">
      <w:r>
        <w:t xml:space="preserve">Iznos smanjenja- Ustupanje </w:t>
      </w:r>
      <w:proofErr w:type="spellStart"/>
      <w:r>
        <w:t>Kauznionici</w:t>
      </w:r>
      <w:proofErr w:type="spellEnd"/>
      <w:r>
        <w:t xml:space="preserve"> u Glini štit</w:t>
      </w:r>
      <w:r>
        <w:t>nici i kacige, te otpis po Odluci.</w:t>
      </w:r>
    </w:p>
    <w:p w:rsidR="00685771" w:rsidRDefault="00685771">
      <w:bookmarkStart w:id="0" w:name="_GoBack"/>
      <w:bookmarkEnd w:id="0"/>
    </w:p>
    <w:p w:rsidR="00685771" w:rsidRDefault="00A35D6D">
      <w:pPr>
        <w:keepNext/>
        <w:spacing w:line="240" w:lineRule="auto"/>
        <w:jc w:val="center"/>
      </w:pPr>
      <w:r>
        <w:rPr>
          <w:b/>
          <w:sz w:val="28"/>
        </w:rPr>
        <w:t>Izvještaj o obveza</w:t>
      </w:r>
      <w:r>
        <w:rPr>
          <w:b/>
          <w:sz w:val="28"/>
        </w:rPr>
        <w:t>ma</w:t>
      </w:r>
    </w:p>
    <w:p w:rsidR="00685771" w:rsidRDefault="00A35D6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85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8577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68577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6.026,46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85771" w:rsidRDefault="00A35D6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85771" w:rsidRDefault="00685771">
      <w:pPr>
        <w:spacing w:after="0"/>
      </w:pPr>
    </w:p>
    <w:p w:rsidR="00685771" w:rsidRDefault="00A35D6D">
      <w:proofErr w:type="spellStart"/>
      <w:r>
        <w:t>Dospiječe</w:t>
      </w:r>
      <w:proofErr w:type="spellEnd"/>
      <w:r>
        <w:t xml:space="preserve"> računa je bilo nakon traženja sredstava putem Državne riznice, te su se čekali ispravci/računi od </w:t>
      </w:r>
      <w:proofErr w:type="spellStart"/>
      <w:r>
        <w:t>dobavljaća</w:t>
      </w:r>
      <w:proofErr w:type="spellEnd"/>
      <w:r>
        <w:t>.</w:t>
      </w:r>
    </w:p>
    <w:p w:rsidR="00685771" w:rsidRDefault="00A35D6D">
      <w:r>
        <w:t> </w:t>
      </w:r>
    </w:p>
    <w:p w:rsidR="00685771" w:rsidRDefault="00685771"/>
    <w:sectPr w:rsidR="00685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71"/>
    <w:rsid w:val="00685771"/>
    <w:rsid w:val="00A3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Jagunić</dc:creator>
  <cp:lastModifiedBy>Hrvoje Jagunić</cp:lastModifiedBy>
  <cp:revision>2</cp:revision>
  <cp:lastPrinted>2026-02-02T12:15:00Z</cp:lastPrinted>
  <dcterms:created xsi:type="dcterms:W3CDTF">2026-02-02T12:16:00Z</dcterms:created>
  <dcterms:modified xsi:type="dcterms:W3CDTF">2026-02-02T12:16:00Z</dcterms:modified>
</cp:coreProperties>
</file>